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C0" w:rsidRDefault="007E0204" w:rsidP="007E0204">
      <w:pPr>
        <w:jc w:val="center"/>
        <w:rPr>
          <w:b/>
          <w:sz w:val="32"/>
          <w:szCs w:val="32"/>
        </w:rPr>
      </w:pPr>
      <w:r>
        <w:rPr>
          <w:b/>
          <w:sz w:val="32"/>
          <w:szCs w:val="32"/>
        </w:rPr>
        <w:t>U</w:t>
      </w:r>
      <w:r w:rsidR="00FA2FDC">
        <w:rPr>
          <w:b/>
          <w:sz w:val="32"/>
          <w:szCs w:val="32"/>
        </w:rPr>
        <w:t xml:space="preserve">niform </w:t>
      </w:r>
      <w:r>
        <w:rPr>
          <w:b/>
          <w:sz w:val="32"/>
          <w:szCs w:val="32"/>
        </w:rPr>
        <w:t>G</w:t>
      </w:r>
      <w:r w:rsidR="00FA2FDC">
        <w:rPr>
          <w:b/>
          <w:sz w:val="32"/>
          <w:szCs w:val="32"/>
        </w:rPr>
        <w:t>uidance</w:t>
      </w:r>
      <w:r>
        <w:rPr>
          <w:b/>
          <w:sz w:val="32"/>
          <w:szCs w:val="32"/>
        </w:rPr>
        <w:t xml:space="preserve"> Procurement I</w:t>
      </w:r>
      <w:r w:rsidR="005D44C0" w:rsidRPr="007E0204">
        <w:rPr>
          <w:b/>
          <w:sz w:val="32"/>
          <w:szCs w:val="32"/>
        </w:rPr>
        <w:t>mplementation</w:t>
      </w:r>
    </w:p>
    <w:p w:rsidR="00FA2FDC" w:rsidRPr="007E0204" w:rsidRDefault="00FA2FDC" w:rsidP="007E0204">
      <w:pPr>
        <w:jc w:val="center"/>
        <w:rPr>
          <w:b/>
          <w:sz w:val="32"/>
          <w:szCs w:val="32"/>
        </w:rPr>
      </w:pPr>
      <w:r>
        <w:rPr>
          <w:b/>
          <w:sz w:val="32"/>
          <w:szCs w:val="32"/>
        </w:rPr>
        <w:t>Frequently Asked Questions</w:t>
      </w:r>
    </w:p>
    <w:p w:rsidR="005D44C0" w:rsidRDefault="005D44C0"/>
    <w:p w:rsidR="007E0204" w:rsidRDefault="007E0204"/>
    <w:p w:rsidR="007E0204" w:rsidRDefault="007E0204"/>
    <w:tbl>
      <w:tblPr>
        <w:tblStyle w:val="TableGrid"/>
        <w:tblW w:w="12955" w:type="dxa"/>
        <w:tblLook w:val="04A0" w:firstRow="1" w:lastRow="0" w:firstColumn="1" w:lastColumn="0" w:noHBand="0" w:noVBand="1"/>
      </w:tblPr>
      <w:tblGrid>
        <w:gridCol w:w="4960"/>
        <w:gridCol w:w="7995"/>
      </w:tblGrid>
      <w:tr w:rsidR="008115CD" w:rsidTr="005A087B">
        <w:tc>
          <w:tcPr>
            <w:tcW w:w="4960" w:type="dxa"/>
          </w:tcPr>
          <w:p w:rsidR="008115CD" w:rsidRPr="007E0204" w:rsidRDefault="008115CD" w:rsidP="007E0204">
            <w:pPr>
              <w:rPr>
                <w:b/>
              </w:rPr>
            </w:pPr>
            <w:r>
              <w:rPr>
                <w:b/>
              </w:rPr>
              <w:t>Question</w:t>
            </w:r>
          </w:p>
        </w:tc>
        <w:tc>
          <w:tcPr>
            <w:tcW w:w="7995" w:type="dxa"/>
          </w:tcPr>
          <w:p w:rsidR="008115CD" w:rsidRPr="007E0204" w:rsidRDefault="008115CD" w:rsidP="007E0204">
            <w:pPr>
              <w:rPr>
                <w:b/>
              </w:rPr>
            </w:pPr>
            <w:r>
              <w:rPr>
                <w:b/>
              </w:rPr>
              <w:t>Answer</w:t>
            </w:r>
          </w:p>
        </w:tc>
      </w:tr>
      <w:tr w:rsidR="008115CD" w:rsidTr="005A087B">
        <w:tc>
          <w:tcPr>
            <w:tcW w:w="4960" w:type="dxa"/>
          </w:tcPr>
          <w:p w:rsidR="008115CD" w:rsidRPr="002E1FDA" w:rsidRDefault="008115CD" w:rsidP="007E0204">
            <w:pPr>
              <w:rPr>
                <w:rFonts w:ascii="Calibri" w:hAnsi="Calibri"/>
              </w:rPr>
            </w:pPr>
            <w:r w:rsidRPr="002E1FDA">
              <w:rPr>
                <w:rFonts w:ascii="Calibri" w:hAnsi="Calibri"/>
              </w:rPr>
              <w:t>Why are we making these changes?</w:t>
            </w:r>
          </w:p>
        </w:tc>
        <w:tc>
          <w:tcPr>
            <w:tcW w:w="7995" w:type="dxa"/>
          </w:tcPr>
          <w:p w:rsidR="008115CD" w:rsidRPr="002E1FDA" w:rsidRDefault="008115CD" w:rsidP="006E6B0A">
            <w:pPr>
              <w:tabs>
                <w:tab w:val="num" w:pos="720"/>
              </w:tabs>
              <w:rPr>
                <w:rFonts w:ascii="Calibri" w:hAnsi="Calibri" w:cs="Times New Roman"/>
              </w:rPr>
            </w:pPr>
            <w:r w:rsidRPr="002E1FDA">
              <w:rPr>
                <w:rFonts w:ascii="Calibri" w:hAnsi="Calibri" w:cs="Times New Roman"/>
              </w:rPr>
              <w:t xml:space="preserve">These regulations impact federal funding proposals, management of grants and contracts, and cost principles that guide research at the University.  Since the University is a major recipient of federal funds through grant funding, the University will be required to follow these regulations.  To further ensure consistent procurement policies and practices, the University will be adopting these new federal regulations across all purchases, regardless of funding source.  </w:t>
            </w:r>
          </w:p>
        </w:tc>
      </w:tr>
      <w:tr w:rsidR="005A087B" w:rsidTr="005A087B">
        <w:tc>
          <w:tcPr>
            <w:tcW w:w="4960" w:type="dxa"/>
          </w:tcPr>
          <w:p w:rsidR="005A087B" w:rsidRDefault="005A087B" w:rsidP="007E0204">
            <w:r>
              <w:t>If I am making a purchase using a non-restricted account, why do these changes impact those purchases?</w:t>
            </w:r>
          </w:p>
        </w:tc>
        <w:tc>
          <w:tcPr>
            <w:tcW w:w="7995" w:type="dxa"/>
          </w:tcPr>
          <w:p w:rsidR="005A087B" w:rsidRDefault="005A087B" w:rsidP="007E0204">
            <w:r w:rsidRPr="002E1FDA">
              <w:rPr>
                <w:rFonts w:ascii="Calibri" w:hAnsi="Calibri" w:cs="Times New Roman"/>
              </w:rPr>
              <w:t xml:space="preserve">To further ensure consistent procurement policies and practices, the University will be adopting these new federal regulations across all purchases, regardless of funding source.  </w:t>
            </w:r>
          </w:p>
        </w:tc>
      </w:tr>
      <w:tr w:rsidR="008115CD" w:rsidTr="005A087B">
        <w:tc>
          <w:tcPr>
            <w:tcW w:w="4960" w:type="dxa"/>
          </w:tcPr>
          <w:p w:rsidR="008115CD" w:rsidRPr="00144AD0" w:rsidRDefault="008115CD" w:rsidP="007E0204">
            <w:r>
              <w:t>When considering the value of a procurement to determine the procurement method to follow how is constructed equipment handled?</w:t>
            </w:r>
          </w:p>
        </w:tc>
        <w:tc>
          <w:tcPr>
            <w:tcW w:w="7995" w:type="dxa"/>
          </w:tcPr>
          <w:p w:rsidR="008115CD" w:rsidRDefault="00D2798F" w:rsidP="00D2798F">
            <w:r>
              <w:t xml:space="preserve">The value of the component purchased determines the method to follow.  For example, if you are purchasing components to build a car (tires, windshield, doors, </w:t>
            </w:r>
            <w:proofErr w:type="spellStart"/>
            <w:r>
              <w:t>etc</w:t>
            </w:r>
            <w:proofErr w:type="spellEnd"/>
            <w:r>
              <w:t>) the value determining the procurement method for the component (tires for example</w:t>
            </w:r>
            <w:proofErr w:type="gramStart"/>
            <w:r>
              <w:t>)  is</w:t>
            </w:r>
            <w:proofErr w:type="gramEnd"/>
            <w:r>
              <w:t xml:space="preserve"> the value of the tires; not the expected value of the completed car.</w:t>
            </w:r>
          </w:p>
        </w:tc>
      </w:tr>
      <w:tr w:rsidR="008115CD" w:rsidTr="005A087B">
        <w:tc>
          <w:tcPr>
            <w:tcW w:w="4960" w:type="dxa"/>
          </w:tcPr>
          <w:p w:rsidR="008115CD" w:rsidRDefault="008115CD" w:rsidP="007E0204">
            <w:bookmarkStart w:id="0" w:name="_GoBack"/>
            <w:bookmarkEnd w:id="0"/>
            <w:r>
              <w:t>What are the acceptable methods of determining price reasonableness?</w:t>
            </w:r>
          </w:p>
        </w:tc>
        <w:tc>
          <w:tcPr>
            <w:tcW w:w="7995" w:type="dxa"/>
          </w:tcPr>
          <w:p w:rsidR="008115CD" w:rsidRDefault="008115CD" w:rsidP="00D82059">
            <w:r>
              <w:t xml:space="preserve">There are several acceptable methods for determining price reasonableness.  The preferred method is price competition.  For a listing and explanation of acceptable methods, please visit this site:  </w:t>
            </w:r>
            <w:hyperlink r:id="rId5" w:history="1">
              <w:r w:rsidRPr="005C7C9B">
                <w:rPr>
                  <w:rStyle w:val="Hyperlink"/>
                </w:rPr>
                <w:t>http://finserv.uchicago.edu/purchasing/ppf/procedures/5062_price.shtml</w:t>
              </w:r>
            </w:hyperlink>
          </w:p>
          <w:p w:rsidR="008115CD" w:rsidRDefault="008115CD" w:rsidP="00D82059"/>
        </w:tc>
      </w:tr>
      <w:tr w:rsidR="008115CD" w:rsidTr="005A087B">
        <w:tc>
          <w:tcPr>
            <w:tcW w:w="4960" w:type="dxa"/>
          </w:tcPr>
          <w:p w:rsidR="008115CD" w:rsidRPr="00144AD0" w:rsidRDefault="008115CD" w:rsidP="007E0204">
            <w:r>
              <w:t>How long will bids be publicized?  Will this impact the processing time required?</w:t>
            </w:r>
          </w:p>
        </w:tc>
        <w:tc>
          <w:tcPr>
            <w:tcW w:w="7995" w:type="dxa"/>
          </w:tcPr>
          <w:p w:rsidR="008115CD" w:rsidRDefault="008115CD" w:rsidP="007E0204">
            <w:r>
              <w:t>Procurement Services will continue with current RFP processes – the time that an individual bid is active varies by procurement.  We do not anticipate the requirement to publicize bid opportunities will extend the processing time.</w:t>
            </w:r>
          </w:p>
        </w:tc>
      </w:tr>
      <w:tr w:rsidR="008115CD" w:rsidTr="005A087B">
        <w:tc>
          <w:tcPr>
            <w:tcW w:w="4960" w:type="dxa"/>
          </w:tcPr>
          <w:p w:rsidR="008115CD" w:rsidRPr="00144AD0" w:rsidRDefault="008115CD" w:rsidP="007E0204">
            <w:r>
              <w:t>Which comes first, creating the independent cost estimate or getting the quote?</w:t>
            </w:r>
          </w:p>
        </w:tc>
        <w:tc>
          <w:tcPr>
            <w:tcW w:w="7995" w:type="dxa"/>
          </w:tcPr>
          <w:p w:rsidR="008115CD" w:rsidRDefault="008115CD" w:rsidP="007E0204">
            <w:r>
              <w:t>The independent cost estimate needs to be created before receipt of supplier quotes/proposals.</w:t>
            </w:r>
          </w:p>
        </w:tc>
      </w:tr>
      <w:tr w:rsidR="008115CD" w:rsidTr="005A087B">
        <w:tc>
          <w:tcPr>
            <w:tcW w:w="4960" w:type="dxa"/>
          </w:tcPr>
          <w:p w:rsidR="008115CD" w:rsidRPr="00144AD0" w:rsidRDefault="008115CD" w:rsidP="007E0204">
            <w:r>
              <w:t>Who gets the quote(s)?</w:t>
            </w:r>
          </w:p>
        </w:tc>
        <w:tc>
          <w:tcPr>
            <w:tcW w:w="7995" w:type="dxa"/>
          </w:tcPr>
          <w:p w:rsidR="008115CD" w:rsidRDefault="008115CD" w:rsidP="0013230D">
            <w:pPr>
              <w:pStyle w:val="ListParagraph"/>
              <w:numPr>
                <w:ilvl w:val="0"/>
                <w:numId w:val="1"/>
              </w:numPr>
            </w:pPr>
            <w:r>
              <w:t>&lt;$10K – department solicits the quote</w:t>
            </w:r>
          </w:p>
          <w:p w:rsidR="008115CD" w:rsidRDefault="008115CD" w:rsidP="0013230D">
            <w:pPr>
              <w:pStyle w:val="ListParagraph"/>
              <w:numPr>
                <w:ilvl w:val="0"/>
                <w:numId w:val="1"/>
              </w:numPr>
            </w:pPr>
            <w:r>
              <w:t>$10K-$150K department solicits the quotes from suppliers and documents price reasonableness</w:t>
            </w:r>
          </w:p>
          <w:p w:rsidR="008115CD" w:rsidRDefault="008115CD" w:rsidP="0013230D">
            <w:pPr>
              <w:pStyle w:val="ListParagraph"/>
              <w:numPr>
                <w:ilvl w:val="0"/>
                <w:numId w:val="1"/>
              </w:numPr>
            </w:pPr>
            <w:r>
              <w:t>&gt;$150K – Procurement Services  solicits quotes/proposals from suppliers</w:t>
            </w:r>
          </w:p>
        </w:tc>
      </w:tr>
      <w:tr w:rsidR="008115CD" w:rsidTr="005A087B">
        <w:tc>
          <w:tcPr>
            <w:tcW w:w="4960" w:type="dxa"/>
          </w:tcPr>
          <w:p w:rsidR="008115CD" w:rsidRPr="00144AD0" w:rsidRDefault="008115CD" w:rsidP="007E0204">
            <w:r>
              <w:t>Who creates the independent cost estimate?</w:t>
            </w:r>
          </w:p>
        </w:tc>
        <w:tc>
          <w:tcPr>
            <w:tcW w:w="7995" w:type="dxa"/>
          </w:tcPr>
          <w:p w:rsidR="008115CD" w:rsidRDefault="008115CD" w:rsidP="007E0204">
            <w:r>
              <w:t>Procurement Services will work with the requesting department to create the independent cost estimate.</w:t>
            </w:r>
          </w:p>
        </w:tc>
      </w:tr>
      <w:tr w:rsidR="008115CD" w:rsidTr="005A087B">
        <w:tc>
          <w:tcPr>
            <w:tcW w:w="4960" w:type="dxa"/>
          </w:tcPr>
          <w:p w:rsidR="008115CD" w:rsidRPr="00144AD0" w:rsidRDefault="008115CD" w:rsidP="007E0204">
            <w:r>
              <w:lastRenderedPageBreak/>
              <w:t>If a grant requires (or allows) purchase of a specific product, is a sole source justification still required?</w:t>
            </w:r>
          </w:p>
        </w:tc>
        <w:tc>
          <w:tcPr>
            <w:tcW w:w="7995" w:type="dxa"/>
          </w:tcPr>
          <w:p w:rsidR="008115CD" w:rsidRDefault="008115CD" w:rsidP="007E0204">
            <w:r>
              <w:t>The executed sole source justification form is required; however, Uniform Guidance accepts specified equipment as a valid justification.</w:t>
            </w:r>
          </w:p>
        </w:tc>
      </w:tr>
      <w:tr w:rsidR="008115CD" w:rsidTr="005A087B">
        <w:tc>
          <w:tcPr>
            <w:tcW w:w="4960" w:type="dxa"/>
          </w:tcPr>
          <w:p w:rsidR="008115CD" w:rsidRPr="00144AD0" w:rsidRDefault="008115CD" w:rsidP="007E0204"/>
        </w:tc>
        <w:tc>
          <w:tcPr>
            <w:tcW w:w="7995" w:type="dxa"/>
          </w:tcPr>
          <w:p w:rsidR="008115CD" w:rsidRDefault="008115CD" w:rsidP="007E0204"/>
        </w:tc>
      </w:tr>
      <w:tr w:rsidR="008115CD" w:rsidTr="005A087B">
        <w:tc>
          <w:tcPr>
            <w:tcW w:w="4960" w:type="dxa"/>
          </w:tcPr>
          <w:p w:rsidR="008115CD" w:rsidRPr="0077743A" w:rsidRDefault="008115CD" w:rsidP="007E0204"/>
        </w:tc>
        <w:tc>
          <w:tcPr>
            <w:tcW w:w="7995" w:type="dxa"/>
          </w:tcPr>
          <w:p w:rsidR="008115CD" w:rsidRDefault="008115CD" w:rsidP="007E0204"/>
        </w:tc>
      </w:tr>
      <w:tr w:rsidR="008115CD" w:rsidTr="005A087B">
        <w:tc>
          <w:tcPr>
            <w:tcW w:w="4960" w:type="dxa"/>
          </w:tcPr>
          <w:p w:rsidR="008115CD" w:rsidRPr="0077743A" w:rsidRDefault="008115CD" w:rsidP="007E0204"/>
        </w:tc>
        <w:tc>
          <w:tcPr>
            <w:tcW w:w="7995" w:type="dxa"/>
          </w:tcPr>
          <w:p w:rsidR="008115CD" w:rsidRDefault="008115CD" w:rsidP="007E0204"/>
        </w:tc>
      </w:tr>
      <w:tr w:rsidR="008115CD" w:rsidTr="005A087B">
        <w:tc>
          <w:tcPr>
            <w:tcW w:w="4960" w:type="dxa"/>
          </w:tcPr>
          <w:p w:rsidR="008115CD" w:rsidRPr="0077743A" w:rsidRDefault="008115CD" w:rsidP="007E0204"/>
        </w:tc>
        <w:tc>
          <w:tcPr>
            <w:tcW w:w="7995" w:type="dxa"/>
          </w:tcPr>
          <w:p w:rsidR="008115CD" w:rsidRDefault="008115CD" w:rsidP="007E0204"/>
        </w:tc>
      </w:tr>
      <w:tr w:rsidR="008115CD" w:rsidTr="005A087B">
        <w:tc>
          <w:tcPr>
            <w:tcW w:w="4960" w:type="dxa"/>
          </w:tcPr>
          <w:p w:rsidR="008115CD" w:rsidRPr="0077743A" w:rsidRDefault="008115CD" w:rsidP="007E0204"/>
        </w:tc>
        <w:tc>
          <w:tcPr>
            <w:tcW w:w="7995" w:type="dxa"/>
          </w:tcPr>
          <w:p w:rsidR="008115CD" w:rsidRDefault="008115CD" w:rsidP="007E0204"/>
        </w:tc>
      </w:tr>
      <w:tr w:rsidR="008115CD" w:rsidTr="005A087B">
        <w:tc>
          <w:tcPr>
            <w:tcW w:w="4960" w:type="dxa"/>
          </w:tcPr>
          <w:p w:rsidR="008115CD" w:rsidRPr="0077743A" w:rsidRDefault="008115CD" w:rsidP="007E0204"/>
        </w:tc>
        <w:tc>
          <w:tcPr>
            <w:tcW w:w="7995" w:type="dxa"/>
          </w:tcPr>
          <w:p w:rsidR="008115CD" w:rsidRDefault="008115CD" w:rsidP="007E0204"/>
        </w:tc>
      </w:tr>
      <w:tr w:rsidR="008115CD" w:rsidTr="005A087B">
        <w:tc>
          <w:tcPr>
            <w:tcW w:w="4960" w:type="dxa"/>
          </w:tcPr>
          <w:p w:rsidR="008115CD" w:rsidRPr="0077743A" w:rsidRDefault="008115CD" w:rsidP="007E0204"/>
        </w:tc>
        <w:tc>
          <w:tcPr>
            <w:tcW w:w="7995" w:type="dxa"/>
          </w:tcPr>
          <w:p w:rsidR="008115CD" w:rsidRDefault="008115CD" w:rsidP="007E0204"/>
        </w:tc>
      </w:tr>
      <w:tr w:rsidR="008115CD" w:rsidTr="005A087B">
        <w:tc>
          <w:tcPr>
            <w:tcW w:w="4960" w:type="dxa"/>
          </w:tcPr>
          <w:p w:rsidR="008115CD" w:rsidRPr="00144AD0" w:rsidRDefault="008115CD" w:rsidP="007E0204"/>
        </w:tc>
        <w:tc>
          <w:tcPr>
            <w:tcW w:w="7995" w:type="dxa"/>
          </w:tcPr>
          <w:p w:rsidR="008115CD" w:rsidRDefault="008115CD" w:rsidP="007E0204"/>
        </w:tc>
      </w:tr>
    </w:tbl>
    <w:p w:rsidR="005D44C0" w:rsidRDefault="005D44C0"/>
    <w:sectPr w:rsidR="005D44C0" w:rsidSect="00F90F5D">
      <w:pgSz w:w="15840" w:h="12240" w:orient="landscape"/>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CF2"/>
    <w:multiLevelType w:val="hybridMultilevel"/>
    <w:tmpl w:val="38EC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C0"/>
    <w:rsid w:val="00040485"/>
    <w:rsid w:val="000D7F12"/>
    <w:rsid w:val="0013230D"/>
    <w:rsid w:val="00136853"/>
    <w:rsid w:val="002E1FDA"/>
    <w:rsid w:val="00384711"/>
    <w:rsid w:val="003D7C98"/>
    <w:rsid w:val="005A087B"/>
    <w:rsid w:val="005D44C0"/>
    <w:rsid w:val="005F0731"/>
    <w:rsid w:val="006B21DF"/>
    <w:rsid w:val="006B5DDC"/>
    <w:rsid w:val="006E1EE6"/>
    <w:rsid w:val="006E6B0A"/>
    <w:rsid w:val="007E0204"/>
    <w:rsid w:val="008115CD"/>
    <w:rsid w:val="0081412E"/>
    <w:rsid w:val="00830CB2"/>
    <w:rsid w:val="00A14D95"/>
    <w:rsid w:val="00B3626A"/>
    <w:rsid w:val="00BA7402"/>
    <w:rsid w:val="00D2798F"/>
    <w:rsid w:val="00D8734E"/>
    <w:rsid w:val="00F90F5D"/>
    <w:rsid w:val="00FA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FBD80-6AD6-FB40-8B1B-17E943E5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485"/>
    <w:rPr>
      <w:color w:val="0563C1" w:themeColor="hyperlink"/>
      <w:u w:val="single"/>
    </w:rPr>
  </w:style>
  <w:style w:type="paragraph" w:styleId="ListParagraph">
    <w:name w:val="List Paragraph"/>
    <w:basedOn w:val="Normal"/>
    <w:uiPriority w:val="34"/>
    <w:qFormat/>
    <w:rsid w:val="0013230D"/>
    <w:pPr>
      <w:ind w:left="720"/>
      <w:contextualSpacing/>
    </w:pPr>
  </w:style>
  <w:style w:type="paragraph" w:styleId="BalloonText">
    <w:name w:val="Balloon Text"/>
    <w:basedOn w:val="Normal"/>
    <w:link w:val="BalloonTextChar"/>
    <w:uiPriority w:val="99"/>
    <w:semiHidden/>
    <w:unhideWhenUsed/>
    <w:rsid w:val="00384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nserv.uchicago.edu/purchasing/ppf/procedures/5062_pr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Cavey</dc:creator>
  <cp:keywords/>
  <dc:description/>
  <cp:lastModifiedBy>Debra Cavey</cp:lastModifiedBy>
  <cp:revision>2</cp:revision>
  <cp:lastPrinted>2018-06-18T13:54:00Z</cp:lastPrinted>
  <dcterms:created xsi:type="dcterms:W3CDTF">2018-06-18T13:54:00Z</dcterms:created>
  <dcterms:modified xsi:type="dcterms:W3CDTF">2018-06-18T13:54:00Z</dcterms:modified>
</cp:coreProperties>
</file>