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30" w:type="dxa"/>
        <w:tblLook w:val="04A0" w:firstRow="1" w:lastRow="0" w:firstColumn="1" w:lastColumn="0" w:noHBand="0" w:noVBand="1"/>
      </w:tblPr>
      <w:tblGrid>
        <w:gridCol w:w="3606"/>
        <w:gridCol w:w="1014"/>
        <w:gridCol w:w="1975"/>
        <w:gridCol w:w="3395"/>
      </w:tblGrid>
      <w:tr w:rsidR="008A4E7F" w:rsidRPr="00D96F7D" w:rsidTr="00F43481">
        <w:tc>
          <w:tcPr>
            <w:tcW w:w="3606" w:type="dxa"/>
          </w:tcPr>
          <w:p w:rsidR="008A4E7F" w:rsidRPr="00D96F7D" w:rsidRDefault="008A4E7F" w:rsidP="00F43481">
            <w:pPr>
              <w:spacing w:after="0" w:line="240" w:lineRule="auto"/>
              <w:rPr>
                <w:rFonts w:ascii="Times New Roman" w:hAnsi="Times New Roman"/>
                <w:sz w:val="24"/>
                <w:szCs w:val="24"/>
              </w:rPr>
            </w:pPr>
            <w:bookmarkStart w:id="0" w:name="_GoBack"/>
            <w:bookmarkEnd w:id="0"/>
            <w:r w:rsidRPr="00D96F7D">
              <w:rPr>
                <w:rFonts w:ascii="Times New Roman" w:hAnsi="Times New Roman"/>
                <w:noProof/>
                <w:sz w:val="24"/>
                <w:szCs w:val="24"/>
              </w:rPr>
              <w:drawing>
                <wp:inline distT="0" distB="0" distL="0" distR="0" wp14:anchorId="67063077" wp14:editId="737E2F1A">
                  <wp:extent cx="2148840" cy="762000"/>
                  <wp:effectExtent l="0" t="0" r="3810" b="0"/>
                  <wp:docPr id="7" name="Picture 7"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icago_CMYK_MAR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840" cy="762000"/>
                          </a:xfrm>
                          <a:prstGeom prst="rect">
                            <a:avLst/>
                          </a:prstGeom>
                          <a:noFill/>
                          <a:ln>
                            <a:noFill/>
                          </a:ln>
                        </pic:spPr>
                      </pic:pic>
                    </a:graphicData>
                  </a:graphic>
                </wp:inline>
              </w:drawing>
            </w:r>
          </w:p>
        </w:tc>
        <w:tc>
          <w:tcPr>
            <w:tcW w:w="1014" w:type="dxa"/>
          </w:tcPr>
          <w:p w:rsidR="008A4E7F" w:rsidRPr="00D96F7D" w:rsidRDefault="008A4E7F" w:rsidP="00F43481">
            <w:pPr>
              <w:spacing w:after="0" w:line="240" w:lineRule="auto"/>
              <w:rPr>
                <w:rFonts w:ascii="Times New Roman" w:hAnsi="Times New Roman"/>
                <w:sz w:val="24"/>
                <w:szCs w:val="24"/>
              </w:rPr>
            </w:pPr>
          </w:p>
        </w:tc>
        <w:tc>
          <w:tcPr>
            <w:tcW w:w="1975" w:type="dxa"/>
          </w:tcPr>
          <w:p w:rsidR="008A4E7F" w:rsidRPr="00D96F7D" w:rsidRDefault="008A4E7F" w:rsidP="00F43481">
            <w:pPr>
              <w:spacing w:after="0" w:line="240" w:lineRule="auto"/>
              <w:jc w:val="right"/>
              <w:rPr>
                <w:rFonts w:ascii="Times New Roman" w:hAnsi="Times New Roman"/>
                <w:noProof/>
                <w:sz w:val="24"/>
                <w:szCs w:val="24"/>
              </w:rPr>
            </w:pPr>
          </w:p>
        </w:tc>
        <w:tc>
          <w:tcPr>
            <w:tcW w:w="3395" w:type="dxa"/>
            <w:vAlign w:val="bottom"/>
          </w:tcPr>
          <w:p w:rsidR="008A4E7F" w:rsidRPr="00D96F7D" w:rsidRDefault="008A4E7F" w:rsidP="00F43481">
            <w:pPr>
              <w:spacing w:after="0" w:line="240" w:lineRule="auto"/>
              <w:jc w:val="right"/>
              <w:rPr>
                <w:rFonts w:ascii="Times New Roman" w:hAnsi="Times New Roman"/>
                <w:sz w:val="24"/>
                <w:szCs w:val="24"/>
              </w:rPr>
            </w:pPr>
            <w:r w:rsidRPr="00D96F7D">
              <w:rPr>
                <w:rFonts w:ascii="Times New Roman" w:hAnsi="Times New Roman"/>
                <w:noProof/>
                <w:sz w:val="24"/>
                <w:szCs w:val="24"/>
              </w:rPr>
              <w:drawing>
                <wp:inline distT="0" distB="0" distL="0" distR="0" wp14:anchorId="4AE1EB89" wp14:editId="5815C09B">
                  <wp:extent cx="1577340" cy="10515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p>
        </w:tc>
      </w:tr>
    </w:tbl>
    <w:p w:rsidR="008A4E7F" w:rsidRDefault="008A4E7F" w:rsidP="008A4E7F">
      <w:pPr>
        <w:overflowPunct w:val="0"/>
        <w:autoSpaceDE w:val="0"/>
        <w:autoSpaceDN w:val="0"/>
        <w:adjustRightInd w:val="0"/>
        <w:spacing w:after="0" w:line="120" w:lineRule="atLeast"/>
        <w:jc w:val="center"/>
        <w:textAlignment w:val="baseline"/>
        <w:rPr>
          <w:rFonts w:ascii="Times New Roman" w:eastAsia="Times New Roman" w:hAnsi="Times New Roman"/>
          <w:b/>
          <w:sz w:val="28"/>
          <w:szCs w:val="20"/>
        </w:rPr>
      </w:pPr>
    </w:p>
    <w:p w:rsidR="008A4E7F" w:rsidRPr="003221FB" w:rsidRDefault="008A4E7F" w:rsidP="008A4E7F">
      <w:pPr>
        <w:overflowPunct w:val="0"/>
        <w:autoSpaceDE w:val="0"/>
        <w:autoSpaceDN w:val="0"/>
        <w:adjustRightInd w:val="0"/>
        <w:spacing w:after="0" w:line="120" w:lineRule="atLeast"/>
        <w:jc w:val="center"/>
        <w:textAlignment w:val="baseline"/>
        <w:rPr>
          <w:rFonts w:ascii="Times New Roman" w:eastAsia="Times New Roman" w:hAnsi="Times New Roman"/>
          <w:b/>
          <w:sz w:val="28"/>
          <w:szCs w:val="20"/>
        </w:rPr>
      </w:pPr>
      <w:r w:rsidRPr="003221FB">
        <w:rPr>
          <w:rFonts w:ascii="Times New Roman" w:eastAsia="Times New Roman" w:hAnsi="Times New Roman"/>
          <w:b/>
          <w:sz w:val="28"/>
          <w:szCs w:val="20"/>
        </w:rPr>
        <w:t>CERTIFICATE OF ELECTRICAL CERTIFICATION</w:t>
      </w:r>
    </w:p>
    <w:p w:rsidR="008A4E7F" w:rsidRPr="003221FB" w:rsidRDefault="008A4E7F" w:rsidP="008A4E7F">
      <w:pPr>
        <w:overflowPunct w:val="0"/>
        <w:autoSpaceDE w:val="0"/>
        <w:autoSpaceDN w:val="0"/>
        <w:adjustRightInd w:val="0"/>
        <w:spacing w:after="0" w:line="240" w:lineRule="atLeast"/>
        <w:jc w:val="both"/>
        <w:textAlignment w:val="baseline"/>
        <w:rPr>
          <w:rFonts w:ascii="Times New Roman" w:eastAsia="Times New Roman" w:hAnsi="Times New Roman"/>
          <w:sz w:val="24"/>
          <w:szCs w:val="24"/>
        </w:rPr>
      </w:pPr>
    </w:p>
    <w:p w:rsidR="008A4E7F" w:rsidRPr="00754F70" w:rsidRDefault="008A4E7F" w:rsidP="008A4E7F">
      <w:pPr>
        <w:overflowPunct w:val="0"/>
        <w:autoSpaceDE w:val="0"/>
        <w:autoSpaceDN w:val="0"/>
        <w:adjustRightInd w:val="0"/>
        <w:spacing w:after="0" w:line="240" w:lineRule="atLeast"/>
        <w:jc w:val="both"/>
        <w:textAlignment w:val="baseline"/>
        <w:rPr>
          <w:rFonts w:ascii="Times New Roman" w:eastAsia="Times New Roman" w:hAnsi="Times New Roman"/>
          <w:szCs w:val="24"/>
        </w:rPr>
      </w:pPr>
      <w:r w:rsidRPr="00754F70">
        <w:rPr>
          <w:rFonts w:ascii="Times New Roman" w:eastAsia="Times New Roman" w:hAnsi="Times New Roman"/>
          <w:szCs w:val="24"/>
        </w:rPr>
        <w:t>Please identify which of the Nationally Recognized Testing Laboratories (NRTL) below has certified the equipment your company is providing to the University.</w:t>
      </w:r>
    </w:p>
    <w:p w:rsidR="008A4E7F" w:rsidRPr="00484E90" w:rsidRDefault="008A4E7F" w:rsidP="008A4E7F">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bl>
      <w:tblPr>
        <w:tblStyle w:val="TableGrid1"/>
        <w:tblW w:w="0" w:type="auto"/>
        <w:tblInd w:w="895" w:type="dxa"/>
        <w:tblLook w:val="04A0" w:firstRow="1" w:lastRow="0" w:firstColumn="1" w:lastColumn="0" w:noHBand="0" w:noVBand="1"/>
      </w:tblPr>
      <w:tblGrid>
        <w:gridCol w:w="535"/>
        <w:gridCol w:w="7470"/>
      </w:tblGrid>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r>
              <w:rPr>
                <w:rFonts w:ascii="Times New Roman" w:eastAsia="Times New Roman" w:hAnsi="Times New Roman"/>
                <w:sz w:val="20"/>
                <w:szCs w:val="24"/>
              </w:rPr>
              <w:t>Applied Research Laboratories of South Florida, LLC  (ARL)</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Bay Area Compliance Laboratories   (BACL)</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CSA Group Testing and Certification Inc.  (CSA)</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 xml:space="preserve">Curtis-Straus LLC  </w:t>
            </w:r>
            <w:r w:rsidRPr="00484E90">
              <w:rPr>
                <w:rFonts w:ascii="Times New Roman" w:eastAsia="Times New Roman" w:hAnsi="Times New Roman"/>
                <w:sz w:val="20"/>
                <w:szCs w:val="24"/>
              </w:rPr>
              <w:t>(CSL)</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FM Approvals  (FM)</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International Association of Plumbing and Mechanical Officials EGS  (IAPMO)</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Intertek Testing Services NA, Inc. (ITSNA)</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MET Laboratories, Inc. (MET)</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proofErr w:type="spellStart"/>
            <w:r>
              <w:rPr>
                <w:rFonts w:ascii="Times New Roman" w:eastAsia="Times New Roman" w:hAnsi="Times New Roman"/>
                <w:sz w:val="20"/>
                <w:szCs w:val="24"/>
              </w:rPr>
              <w:t>Nemko</w:t>
            </w:r>
            <w:proofErr w:type="spellEnd"/>
            <w:r>
              <w:rPr>
                <w:rFonts w:ascii="Times New Roman" w:eastAsia="Times New Roman" w:hAnsi="Times New Roman"/>
                <w:sz w:val="20"/>
                <w:szCs w:val="24"/>
              </w:rPr>
              <w:t xml:space="preserve"> North America, Inc.  (NNA)</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NSF International</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(NSF)</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QAI Laboratories, LTD  (QAI)</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 xml:space="preserve">QPS Evaluation Services </w:t>
            </w:r>
            <w:r w:rsidRPr="00484E90">
              <w:rPr>
                <w:rFonts w:ascii="Times New Roman" w:eastAsia="Times New Roman" w:hAnsi="Times New Roman"/>
                <w:sz w:val="20"/>
                <w:szCs w:val="24"/>
              </w:rPr>
              <w:t>Inc</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(QPS)</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 xml:space="preserve">SGS </w:t>
            </w:r>
            <w:r>
              <w:rPr>
                <w:rFonts w:ascii="Times New Roman" w:eastAsia="Times New Roman" w:hAnsi="Times New Roman"/>
                <w:sz w:val="20"/>
                <w:szCs w:val="24"/>
              </w:rPr>
              <w:t>North America</w:t>
            </w:r>
            <w:r w:rsidRPr="00484E90">
              <w:rPr>
                <w:rFonts w:ascii="Times New Roman" w:eastAsia="Times New Roman" w:hAnsi="Times New Roman"/>
                <w:sz w:val="20"/>
                <w:szCs w:val="24"/>
              </w:rPr>
              <w:t xml:space="preserve">, Inc. </w:t>
            </w:r>
            <w:r>
              <w:rPr>
                <w:rFonts w:ascii="Times New Roman" w:eastAsia="Times New Roman" w:hAnsi="Times New Roman"/>
                <w:sz w:val="20"/>
                <w:szCs w:val="24"/>
              </w:rPr>
              <w:t xml:space="preserve"> (SGS)</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Southwest Research Institute (SWRI)</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TUV Rheinland of North America, Inc</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(TUV)</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TUV Rheinland PTL, LLC</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(TUVPTL)</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Pr>
                <w:rFonts w:ascii="Times New Roman" w:eastAsia="Times New Roman" w:hAnsi="Times New Roman"/>
                <w:sz w:val="20"/>
                <w:szCs w:val="24"/>
              </w:rPr>
              <w:t xml:space="preserve">TUV SUD America </w:t>
            </w:r>
            <w:r w:rsidRPr="00484E90">
              <w:rPr>
                <w:rFonts w:ascii="Times New Roman" w:eastAsia="Times New Roman" w:hAnsi="Times New Roman"/>
                <w:sz w:val="20"/>
                <w:szCs w:val="24"/>
              </w:rPr>
              <w:t xml:space="preserve">Inc. </w:t>
            </w:r>
            <w:r>
              <w:rPr>
                <w:rFonts w:ascii="Times New Roman" w:eastAsia="Times New Roman" w:hAnsi="Times New Roman"/>
                <w:sz w:val="20"/>
                <w:szCs w:val="24"/>
              </w:rPr>
              <w:t xml:space="preserve"> </w:t>
            </w:r>
            <w:r w:rsidRPr="00484E90">
              <w:rPr>
                <w:rFonts w:ascii="Times New Roman" w:eastAsia="Times New Roman" w:hAnsi="Times New Roman"/>
                <w:sz w:val="20"/>
                <w:szCs w:val="24"/>
              </w:rPr>
              <w:t>(TUVAM)</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TUV SUD Product Services GmbH</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(TUVPSG)</w:t>
            </w:r>
          </w:p>
        </w:tc>
      </w:tr>
      <w:tr w:rsidR="008A4E7F" w:rsidRPr="00484E90" w:rsidTr="00F43481">
        <w:tc>
          <w:tcPr>
            <w:tcW w:w="535" w:type="dxa"/>
          </w:tcPr>
          <w:p w:rsidR="008A4E7F" w:rsidRPr="00484E90" w:rsidRDefault="008A4E7F" w:rsidP="00F43481">
            <w:pPr>
              <w:overflowPunct w:val="0"/>
              <w:autoSpaceDE w:val="0"/>
              <w:autoSpaceDN w:val="0"/>
              <w:adjustRightInd w:val="0"/>
              <w:spacing w:after="0" w:line="240" w:lineRule="atLeast"/>
              <w:jc w:val="both"/>
              <w:textAlignment w:val="baseline"/>
              <w:rPr>
                <w:rFonts w:ascii="Times New Roman" w:eastAsia="Times New Roman" w:hAnsi="Times New Roman"/>
                <w:sz w:val="20"/>
                <w:szCs w:val="24"/>
              </w:rPr>
            </w:pPr>
          </w:p>
        </w:tc>
        <w:tc>
          <w:tcPr>
            <w:tcW w:w="7470" w:type="dxa"/>
          </w:tcPr>
          <w:p w:rsidR="008A4E7F" w:rsidRPr="00484E9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4"/>
              </w:rPr>
            </w:pPr>
            <w:r w:rsidRPr="00484E90">
              <w:rPr>
                <w:rFonts w:ascii="Times New Roman" w:eastAsia="Times New Roman" w:hAnsi="Times New Roman"/>
                <w:sz w:val="20"/>
                <w:szCs w:val="24"/>
              </w:rPr>
              <w:t>Underwriters Laboratories, Inc.</w:t>
            </w:r>
            <w:r>
              <w:rPr>
                <w:rFonts w:ascii="Times New Roman" w:eastAsia="Times New Roman" w:hAnsi="Times New Roman"/>
                <w:sz w:val="20"/>
                <w:szCs w:val="24"/>
              </w:rPr>
              <w:t xml:space="preserve"> </w:t>
            </w:r>
            <w:r w:rsidRPr="00484E90">
              <w:rPr>
                <w:rFonts w:ascii="Times New Roman" w:eastAsia="Times New Roman" w:hAnsi="Times New Roman"/>
                <w:sz w:val="20"/>
                <w:szCs w:val="24"/>
              </w:rPr>
              <w:t xml:space="preserve"> (UL)</w:t>
            </w:r>
          </w:p>
        </w:tc>
      </w:tr>
    </w:tbl>
    <w:p w:rsidR="008A4E7F" w:rsidRPr="00484E90" w:rsidRDefault="008A4E7F" w:rsidP="008A4E7F">
      <w:pPr>
        <w:overflowPunct w:val="0"/>
        <w:autoSpaceDE w:val="0"/>
        <w:autoSpaceDN w:val="0"/>
        <w:adjustRightInd w:val="0"/>
        <w:spacing w:after="0" w:line="240" w:lineRule="atLeast"/>
        <w:textAlignment w:val="baseline"/>
        <w:rPr>
          <w:rFonts w:ascii="Times New Roman" w:eastAsia="Times New Roman" w:hAnsi="Times New Roman"/>
          <w:sz w:val="20"/>
          <w:szCs w:val="24"/>
        </w:rPr>
      </w:pPr>
    </w:p>
    <w:p w:rsidR="008A4E7F" w:rsidRPr="00754F70" w:rsidRDefault="008A4E7F" w:rsidP="008A4E7F">
      <w:pPr>
        <w:overflowPunct w:val="0"/>
        <w:autoSpaceDE w:val="0"/>
        <w:autoSpaceDN w:val="0"/>
        <w:adjustRightInd w:val="0"/>
        <w:spacing w:after="0" w:line="240" w:lineRule="atLeast"/>
        <w:textAlignment w:val="baseline"/>
        <w:rPr>
          <w:rFonts w:ascii="Times New Roman" w:eastAsia="Times New Roman" w:hAnsi="Times New Roman"/>
        </w:rPr>
      </w:pPr>
      <w:r w:rsidRPr="00754F70">
        <w:rPr>
          <w:rFonts w:ascii="Times New Roman" w:eastAsia="Times New Roman" w:hAnsi="Times New Roman"/>
        </w:rPr>
        <w:t>If the equipment offered to the University is certified with a “CE” designation, please mark the box below and provide the additional information required.</w:t>
      </w:r>
    </w:p>
    <w:p w:rsidR="008A4E7F" w:rsidRPr="00754F70" w:rsidRDefault="008A4E7F" w:rsidP="008A4E7F">
      <w:pPr>
        <w:overflowPunct w:val="0"/>
        <w:autoSpaceDE w:val="0"/>
        <w:autoSpaceDN w:val="0"/>
        <w:adjustRightInd w:val="0"/>
        <w:spacing w:after="0" w:line="240" w:lineRule="atLeast"/>
        <w:textAlignment w:val="baseline"/>
        <w:rPr>
          <w:rFonts w:ascii="Times New Roman" w:eastAsia="Times New Roman" w:hAnsi="Times New Roman"/>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470"/>
      </w:tblGrid>
      <w:tr w:rsidR="008A4E7F" w:rsidRPr="00257CA3" w:rsidTr="00F43481">
        <w:trPr>
          <w:trHeight w:val="323"/>
        </w:trPr>
        <w:tc>
          <w:tcPr>
            <w:tcW w:w="540" w:type="dxa"/>
          </w:tcPr>
          <w:p w:rsidR="008A4E7F" w:rsidRPr="00233AAF" w:rsidRDefault="008A4E7F" w:rsidP="00F43481">
            <w:pPr>
              <w:overflowPunct w:val="0"/>
              <w:autoSpaceDE w:val="0"/>
              <w:autoSpaceDN w:val="0"/>
              <w:adjustRightInd w:val="0"/>
              <w:spacing w:beforeAutospacing="1" w:after="0" w:afterAutospacing="1" w:line="240" w:lineRule="atLeast"/>
              <w:jc w:val="both"/>
              <w:textAlignment w:val="baseline"/>
              <w:rPr>
                <w:rFonts w:ascii="Times New Roman" w:eastAsia="Times New Roman" w:hAnsi="Times New Roman"/>
                <w:sz w:val="20"/>
                <w:szCs w:val="20"/>
              </w:rPr>
            </w:pPr>
          </w:p>
        </w:tc>
        <w:tc>
          <w:tcPr>
            <w:tcW w:w="7470" w:type="dxa"/>
          </w:tcPr>
          <w:p w:rsidR="008A4E7F" w:rsidRPr="00754F70" w:rsidRDefault="008A4E7F" w:rsidP="00F43481">
            <w:pPr>
              <w:overflowPunct w:val="0"/>
              <w:autoSpaceDE w:val="0"/>
              <w:autoSpaceDN w:val="0"/>
              <w:adjustRightInd w:val="0"/>
              <w:spacing w:beforeAutospacing="1" w:after="0" w:afterAutospacing="1" w:line="240" w:lineRule="atLeast"/>
              <w:jc w:val="both"/>
              <w:textAlignment w:val="baseline"/>
              <w:rPr>
                <w:rFonts w:ascii="Times New Roman" w:eastAsia="Times New Roman" w:hAnsi="Times New Roman"/>
                <w:sz w:val="20"/>
                <w:szCs w:val="20"/>
              </w:rPr>
            </w:pPr>
            <w:r w:rsidRPr="00754F70">
              <w:rPr>
                <w:rFonts w:ascii="Times New Roman" w:eastAsia="Times New Roman" w:hAnsi="Times New Roman"/>
                <w:sz w:val="20"/>
                <w:szCs w:val="20"/>
              </w:rPr>
              <w:t xml:space="preserve">European Economic Area Conformance (CE) </w:t>
            </w:r>
          </w:p>
        </w:tc>
      </w:tr>
      <w:tr w:rsidR="008A4E7F" w:rsidRPr="00257CA3" w:rsidTr="00F43481">
        <w:trPr>
          <w:trHeight w:val="323"/>
        </w:trPr>
        <w:tc>
          <w:tcPr>
            <w:tcW w:w="8010" w:type="dxa"/>
            <w:gridSpan w:val="2"/>
          </w:tcPr>
          <w:p w:rsidR="008A4E7F" w:rsidRPr="00233AAF"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p>
          <w:p w:rsidR="008A4E7F" w:rsidRPr="00754F70"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754F70">
              <w:rPr>
                <w:rFonts w:ascii="Times New Roman" w:eastAsia="Times New Roman" w:hAnsi="Times New Roman"/>
                <w:sz w:val="20"/>
                <w:szCs w:val="20"/>
              </w:rPr>
              <w:t>Additional Information (CE designation only) - Power requirements of purchased equipment.</w:t>
            </w:r>
          </w:p>
          <w:p w:rsidR="008A4E7F" w:rsidRPr="00366903"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p>
          <w:p w:rsidR="008A4E7F" w:rsidRPr="008E7C65"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8E7C65">
              <w:rPr>
                <w:rFonts w:ascii="Times New Roman" w:eastAsia="Times New Roman" w:hAnsi="Times New Roman"/>
                <w:sz w:val="20"/>
                <w:szCs w:val="20"/>
              </w:rPr>
              <w:t>Input Voltage: ____________ volts                        Output Voltage: ___________ volts</w:t>
            </w:r>
          </w:p>
          <w:p w:rsidR="008A4E7F" w:rsidRPr="008E7C65"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p>
          <w:p w:rsidR="008A4E7F" w:rsidRPr="00714F87"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8E7C65">
              <w:rPr>
                <w:rFonts w:ascii="Times New Roman" w:eastAsia="Times New Roman" w:hAnsi="Times New Roman"/>
                <w:sz w:val="20"/>
                <w:szCs w:val="20"/>
              </w:rPr>
              <w:t xml:space="preserve">Amperes draw: ___________ amps </w:t>
            </w:r>
            <w:r w:rsidRPr="008E7C65">
              <w:rPr>
                <w:rFonts w:ascii="Times New Roman" w:eastAsia="Times New Roman" w:hAnsi="Times New Roman"/>
                <w:sz w:val="20"/>
                <w:szCs w:val="20"/>
              </w:rPr>
              <w:tab/>
              <w:t xml:space="preserve">         Amperes draw: ____________ </w:t>
            </w:r>
            <w:r w:rsidRPr="00714F87">
              <w:rPr>
                <w:rFonts w:ascii="Times New Roman" w:eastAsia="Times New Roman" w:hAnsi="Times New Roman"/>
                <w:sz w:val="20"/>
                <w:szCs w:val="20"/>
              </w:rPr>
              <w:t>amps</w:t>
            </w:r>
          </w:p>
          <w:p w:rsidR="008A4E7F" w:rsidRPr="00714F87" w:rsidRDefault="008A4E7F" w:rsidP="00F43481">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rsidR="008A4E7F" w:rsidRPr="00754F70" w:rsidRDefault="008A4E7F" w:rsidP="008A4E7F">
      <w:pPr>
        <w:overflowPunct w:val="0"/>
        <w:autoSpaceDE w:val="0"/>
        <w:autoSpaceDN w:val="0"/>
        <w:adjustRightInd w:val="0"/>
        <w:spacing w:after="0" w:line="240" w:lineRule="auto"/>
        <w:textAlignment w:val="baseline"/>
        <w:rPr>
          <w:rFonts w:ascii="Times New Roman" w:eastAsia="Times New Roman" w:hAnsi="Times New Roman"/>
        </w:rPr>
      </w:pPr>
    </w:p>
    <w:p w:rsidR="008A4E7F" w:rsidRPr="00754F70" w:rsidRDefault="008A4E7F" w:rsidP="008A4E7F">
      <w:pPr>
        <w:overflowPunct w:val="0"/>
        <w:autoSpaceDE w:val="0"/>
        <w:autoSpaceDN w:val="0"/>
        <w:adjustRightInd w:val="0"/>
        <w:spacing w:after="0" w:line="240" w:lineRule="auto"/>
        <w:textAlignment w:val="baseline"/>
        <w:rPr>
          <w:rFonts w:ascii="Times New Roman" w:eastAsia="Times New Roman" w:hAnsi="Times New Roman"/>
        </w:rPr>
      </w:pPr>
      <w:r w:rsidRPr="00754F70">
        <w:rPr>
          <w:rFonts w:ascii="Times New Roman" w:eastAsia="Times New Roman" w:hAnsi="Times New Roman"/>
        </w:rPr>
        <w:t>By submission of this certificate, the Seller certifies and attests that, to the best of its knowledge and belief, the information above, regarding the electrical certification of the equipment offered in the Seller’s quote is accurate and upon request by the University can produce documentation to support this claim.</w:t>
      </w:r>
    </w:p>
    <w:p w:rsidR="008A4E7F" w:rsidRPr="00754F70" w:rsidRDefault="008A4E7F" w:rsidP="008A4E7F">
      <w:pPr>
        <w:overflowPunct w:val="0"/>
        <w:autoSpaceDE w:val="0"/>
        <w:autoSpaceDN w:val="0"/>
        <w:adjustRightInd w:val="0"/>
        <w:spacing w:before="120" w:after="120" w:line="240" w:lineRule="atLeast"/>
        <w:jc w:val="both"/>
        <w:textAlignment w:val="baseline"/>
        <w:rPr>
          <w:rFonts w:ascii="Times New Roman" w:eastAsia="Times New Roman" w:hAnsi="Times New Roman"/>
        </w:rPr>
      </w:pPr>
      <w:r w:rsidRPr="00754F70">
        <w:rPr>
          <w:rFonts w:ascii="Times New Roman" w:eastAsia="Times New Roman" w:hAnsi="Times New Roman"/>
        </w:rPr>
        <w:t>Firm Name: __________________________________________________ Date: ____________</w:t>
      </w:r>
    </w:p>
    <w:p w:rsidR="008A4E7F" w:rsidRPr="00754F70" w:rsidRDefault="008A4E7F" w:rsidP="008A4E7F">
      <w:pPr>
        <w:overflowPunct w:val="0"/>
        <w:autoSpaceDE w:val="0"/>
        <w:autoSpaceDN w:val="0"/>
        <w:adjustRightInd w:val="0"/>
        <w:spacing w:before="120" w:after="120" w:line="240" w:lineRule="atLeast"/>
        <w:jc w:val="both"/>
        <w:textAlignment w:val="baseline"/>
        <w:rPr>
          <w:rFonts w:ascii="Times New Roman" w:eastAsia="Times New Roman" w:hAnsi="Times New Roman"/>
        </w:rPr>
      </w:pPr>
      <w:r w:rsidRPr="00754F70">
        <w:rPr>
          <w:rFonts w:ascii="Times New Roman" w:eastAsia="Times New Roman" w:hAnsi="Times New Roman"/>
        </w:rPr>
        <w:t>Signature of authorizing person: ___________________________________</w:t>
      </w:r>
    </w:p>
    <w:p w:rsidR="008A4E7F" w:rsidRPr="00754F70" w:rsidRDefault="008A4E7F" w:rsidP="008A4E7F">
      <w:pPr>
        <w:overflowPunct w:val="0"/>
        <w:autoSpaceDE w:val="0"/>
        <w:autoSpaceDN w:val="0"/>
        <w:adjustRightInd w:val="0"/>
        <w:spacing w:before="120" w:after="120" w:line="240" w:lineRule="atLeast"/>
        <w:jc w:val="both"/>
        <w:textAlignment w:val="baseline"/>
        <w:rPr>
          <w:rFonts w:ascii="Times New Roman" w:eastAsia="Times New Roman" w:hAnsi="Times New Roman"/>
        </w:rPr>
      </w:pPr>
      <w:r w:rsidRPr="00754F70">
        <w:rPr>
          <w:rFonts w:ascii="Times New Roman" w:eastAsia="Times New Roman" w:hAnsi="Times New Roman"/>
        </w:rPr>
        <w:t>Name of authorizing person (print):____________________________________</w:t>
      </w:r>
    </w:p>
    <w:p w:rsidR="00E97C4A" w:rsidRPr="008A4E7F" w:rsidRDefault="00360B49" w:rsidP="008A4E7F">
      <w:pPr>
        <w:spacing w:after="0" w:line="240" w:lineRule="auto"/>
        <w:rPr>
          <w:rFonts w:ascii="Times New Roman" w:eastAsia="Times New Roman" w:hAnsi="Times New Roman"/>
          <w:b/>
          <w:sz w:val="24"/>
          <w:szCs w:val="24"/>
          <w:u w:val="single"/>
        </w:rPr>
      </w:pPr>
    </w:p>
    <w:sectPr w:rsidR="00E97C4A" w:rsidRPr="008A4E7F" w:rsidSect="008A4E7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B49" w:rsidRDefault="00360B49" w:rsidP="00F9537C">
      <w:pPr>
        <w:spacing w:after="0" w:line="240" w:lineRule="auto"/>
      </w:pPr>
      <w:r>
        <w:separator/>
      </w:r>
    </w:p>
  </w:endnote>
  <w:endnote w:type="continuationSeparator" w:id="0">
    <w:p w:rsidR="00360B49" w:rsidRDefault="00360B49" w:rsidP="00F9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7C" w:rsidRPr="00F9537C" w:rsidRDefault="00F9537C" w:rsidP="00F9537C">
    <w:pPr>
      <w:pStyle w:val="Footer"/>
      <w:jc w:val="right"/>
      <w:rPr>
        <w:sz w:val="18"/>
      </w:rPr>
    </w:pPr>
    <w:r w:rsidRPr="00F9537C">
      <w:rPr>
        <w:sz w:val="18"/>
      </w:rPr>
      <w:t>5.05</w:t>
    </w:r>
    <w:r w:rsidR="009E3499">
      <w:rPr>
        <w:sz w:val="18"/>
      </w:rPr>
      <w:t>831</w:t>
    </w:r>
  </w:p>
  <w:p w:rsidR="00F9537C" w:rsidRPr="00F9537C" w:rsidRDefault="00F9537C" w:rsidP="00F9537C">
    <w:pPr>
      <w:pStyle w:val="Footer"/>
      <w:jc w:val="right"/>
      <w:rPr>
        <w:i/>
        <w:sz w:val="18"/>
      </w:rPr>
    </w:pPr>
    <w:r w:rsidRPr="00F9537C">
      <w:rPr>
        <w:i/>
        <w:sz w:val="18"/>
      </w:rPr>
      <w:t>Rev 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B49" w:rsidRDefault="00360B49" w:rsidP="00F9537C">
      <w:pPr>
        <w:spacing w:after="0" w:line="240" w:lineRule="auto"/>
      </w:pPr>
      <w:r>
        <w:separator/>
      </w:r>
    </w:p>
  </w:footnote>
  <w:footnote w:type="continuationSeparator" w:id="0">
    <w:p w:rsidR="00360B49" w:rsidRDefault="00360B49" w:rsidP="00F95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F"/>
    <w:rsid w:val="001641A0"/>
    <w:rsid w:val="0030699B"/>
    <w:rsid w:val="00360B49"/>
    <w:rsid w:val="008A4E7F"/>
    <w:rsid w:val="009E3499"/>
    <w:rsid w:val="00B12647"/>
    <w:rsid w:val="00F9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52AA-D9DC-4B85-BBA4-45F735F9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E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4E7F"/>
    <w:pPr>
      <w:spacing w:beforeAutospacing="1"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7C"/>
    <w:rPr>
      <w:rFonts w:ascii="Calibri" w:eastAsia="Calibri" w:hAnsi="Calibri" w:cs="Times New Roman"/>
    </w:rPr>
  </w:style>
  <w:style w:type="paragraph" w:styleId="Footer">
    <w:name w:val="footer"/>
    <w:basedOn w:val="Normal"/>
    <w:link w:val="FooterChar"/>
    <w:uiPriority w:val="99"/>
    <w:unhideWhenUsed/>
    <w:rsid w:val="00F9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7C"/>
    <w:rPr>
      <w:rFonts w:ascii="Calibri" w:eastAsia="Calibri" w:hAnsi="Calibri" w:cs="Times New Roman"/>
    </w:rPr>
  </w:style>
  <w:style w:type="paragraph" w:styleId="BalloonText">
    <w:name w:val="Balloon Text"/>
    <w:basedOn w:val="Normal"/>
    <w:link w:val="BalloonTextChar"/>
    <w:uiPriority w:val="99"/>
    <w:semiHidden/>
    <w:unhideWhenUsed/>
    <w:rsid w:val="00B1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Hangge</dc:creator>
  <cp:keywords/>
  <dc:description/>
  <cp:lastModifiedBy>Keyania Crossley</cp:lastModifiedBy>
  <cp:revision>2</cp:revision>
  <dcterms:created xsi:type="dcterms:W3CDTF">2019-12-17T13:53:00Z</dcterms:created>
  <dcterms:modified xsi:type="dcterms:W3CDTF">2019-12-17T13:53:00Z</dcterms:modified>
</cp:coreProperties>
</file>